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12  |  People and access</w:t>
      </w:r>
    </w:p>
    <w:p>
      <w:pPr>
        <w:pStyle w:val="Title"/>
      </w:pPr>
      <w:r>
        <w:t>Use account security controls</w:t>
      </w:r>
    </w:p>
    <w:p>
      <w:r>
        <w:t>Perform an approved password, session or account-status action for the correct person.</w:t>
      </w:r>
    </w:p>
    <w:p>
      <w:r>
        <w:rPr>
          <w:b/>
        </w:rPr>
        <w:t xml:space="preserve">For </w:t>
      </w:r>
      <w:r>
        <w:t>Web and mobile · Administrator</w:t>
      </w:r>
    </w:p>
    <w:p>
      <w:r>
        <w:rPr>
          <w:b/>
        </w:rPr>
        <w:t xml:space="preserve">Before you start </w:t>
      </w:r>
      <w:r>
        <w:t>Company administrator access and a clear operational reason are required.</w:t>
      </w:r>
    </w:p>
    <w:p>
      <w:r>
        <w:rPr>
          <w:b/>
        </w:rPr>
        <w:t xml:space="preserve">Open </w:t>
      </w:r>
      <w:r>
        <w:t>People administration &gt; Person &gt; Account security</w:t>
      </w:r>
    </w:p>
    <w:p>
      <w:pPr>
        <w:pStyle w:val="Heading2"/>
      </w:pPr>
      <w:r>
        <w:t>Step 1 Open the correct account</w:t>
      </w:r>
    </w:p>
    <w:p>
      <w:r>
        <w:t>Find the person and open Account security. Verify name, email and current Active or Inactive status.</w:t>
      </w:r>
    </w:p>
    <w:p>
      <w:pPr>
        <w:pStyle w:val="Heading2"/>
      </w:pPr>
      <w:r>
        <w:t>Step 2 Choose the action</w:t>
      </w:r>
    </w:p>
    <w:p>
      <w:r>
        <w:t>Read the description under Account action. Choose the specific password, session or activation action needed.</w:t>
      </w:r>
    </w:p>
    <w:p>
      <w:pPr>
        <w:pStyle w:val="Heading2"/>
      </w:pPr>
      <w:r>
        <w:t>Step 3 Enter required details</w:t>
      </w:r>
    </w:p>
    <w:p>
      <w:r>
        <w:t>Enter the reason. If setting a temporary password, follow the displayed length requirement and share it privately.</w:t>
      </w:r>
    </w:p>
    <w:p>
      <w:pPr>
        <w:pStyle w:val="Heading2"/>
      </w:pPr>
      <w:r>
        <w:t>Step 4 Review and confirm</w:t>
      </w:r>
    </w:p>
    <w:p>
      <w:r>
        <w:t>Select Review account change. Verify the named person and action, then select Confirm account change.</w:t>
      </w:r>
    </w:p>
    <w:p>
      <w:pPr>
        <w:pStyle w:val="Heading2"/>
      </w:pPr>
      <w:r>
        <w:t>Step 5 Verify the result</w:t>
      </w:r>
    </w:p>
    <w:p>
      <w:r>
        <w:t>Wait for Account change completed and check the refreshed state. Ask the affected person to complete any required password setup.</w:t>
      </w:r>
    </w:p>
    <w:p>
      <w:r>
        <w:rPr>
          <w:b/>
        </w:rPr>
        <w:t xml:space="preserve">Check your result </w:t>
      </w:r>
      <w:r>
        <w:t>The account action completes and the refreshed status matches the intended action.</w:t>
      </w:r>
    </w:p>
    <w:p>
      <w:r>
        <w:rPr>
          <w:b/>
        </w:rPr>
        <w:t xml:space="preserve">If something goes wrong </w:t>
      </w:r>
      <w:r>
        <w:t>If the result is uncertain, refresh before retrying. Account changes do not grant new property access.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12  Picture reference</w:t>
      </w:r>
    </w:p>
    <w:p>
      <w:pPr>
        <w:pStyle w:val="Subtitle"/>
      </w:pPr>
      <w:r>
        <w:t>Use account security controls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9428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count-for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9428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Choose an account action and enter the reason before reviewing the change.</w:t>
      </w:r>
    </w:p>
    <w:p>
      <w:pPr>
        <w:pStyle w:val="Caption"/>
      </w:pPr>
      <w:r>
        <w:t>Application component preview with training data. Native permission prompts may differ.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account security controls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