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44  |  Advanced administration</w:t>
      </w:r>
    </w:p>
    <w:p>
      <w:pPr>
        <w:pStyle w:val="Title"/>
      </w:pPr>
      <w:r>
        <w:t>Manage approved data collection and timing policies</w:t>
      </w:r>
    </w:p>
    <w:p>
      <w:r>
        <w:t>Review effective settings and apply an approved policy to future work.</w:t>
      </w:r>
    </w:p>
    <w:p>
      <w:r>
        <w:rPr>
          <w:b/>
        </w:rPr>
        <w:t xml:space="preserve">For </w:t>
      </w:r>
      <w:r>
        <w:t>Web · Administrator</w:t>
      </w:r>
    </w:p>
    <w:p>
      <w:r>
        <w:rPr>
          <w:b/>
        </w:rPr>
        <w:t xml:space="preserve">Before you start </w:t>
      </w:r>
      <w:r>
        <w:t>Administrator access and approval for the intended collection configuration are required. This guide does not authorize a new pilot.</w:t>
      </w:r>
    </w:p>
    <w:p>
      <w:r>
        <w:rPr>
          <w:b/>
        </w:rPr>
        <w:t xml:space="preserve">Open </w:t>
      </w:r>
      <w:r>
        <w:t>Manage &gt; Data collection admin</w:t>
      </w:r>
    </w:p>
    <w:p>
      <w:pPr>
        <w:pStyle w:val="Heading2"/>
      </w:pPr>
      <w:r>
        <w:t>Step 1 Choose the scope</w:t>
      </w:r>
    </w:p>
    <w:p>
      <w:r>
        <w:t>Open Data collection and select the intended organization/property. Read inherited defaults and current property overrides.</w:t>
      </w:r>
    </w:p>
    <w:p>
      <w:pPr>
        <w:pStyle w:val="Heading2"/>
      </w:pPr>
      <w:r>
        <w:t>Step 2 Review the relevant section</w:t>
      </w:r>
    </w:p>
    <w:p>
      <w:r>
        <w:t>Choose routine tracking, setup sensors, associate route evidence, collection defaults or run timing as appropriate. Read the displayed effective settings.</w:t>
      </w:r>
    </w:p>
    <w:p>
      <w:pPr>
        <w:pStyle w:val="Heading2"/>
      </w:pPr>
      <w:r>
        <w:t>Step 3 Enter approved values</w:t>
      </w:r>
    </w:p>
    <w:p>
      <w:r>
        <w:t>Set only the approved values, notice version and reason. For timing, review early-start behavior and the separate maximum run duration.</w:t>
      </w:r>
    </w:p>
    <w:p>
      <w:pPr>
        <w:pStyle w:val="Heading2"/>
      </w:pPr>
      <w:r>
        <w:t>Step 4 Confirm futurerun changes</w:t>
      </w:r>
    </w:p>
    <w:p>
      <w:r>
        <w:t>Review the form’s confirmation checkbox or review step and publish using the named policy action.</w:t>
      </w:r>
    </w:p>
    <w:p>
      <w:pPr>
        <w:pStyle w:val="Heading2"/>
      </w:pPr>
      <w:r>
        <w:t>Step 5 Verify the effective version</w:t>
      </w:r>
    </w:p>
    <w:p>
      <w:r>
        <w:t>Refresh and confirm the new version and scope. Existing sessions keep their authorized snapshot and emergency cutoff.</w:t>
      </w:r>
    </w:p>
    <w:p>
      <w:r>
        <w:rPr>
          <w:b/>
        </w:rPr>
        <w:t xml:space="preserve">Check your result </w:t>
      </w:r>
      <w:r>
        <w:t>The intended future-run policy is recorded with its reason and effective version.</w:t>
      </w:r>
    </w:p>
    <w:p>
      <w:r>
        <w:rPr>
          <w:b/>
        </w:rPr>
        <w:t xml:space="preserve">If something goes wrong </w:t>
      </w:r>
      <w:r>
        <w:t>Technical settings do not themselves approve employee notice, retention, experimental pilots or employment consequences.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44  Picture reference</w:t>
      </w:r>
    </w:p>
    <w:p>
      <w:pPr>
        <w:pStyle w:val="Subtitle"/>
      </w:pPr>
      <w:r>
        <w:t>Manage approved data collection and timing policies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4137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-44-collecti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13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The intended future-run policy is recorded with its reason and effective version.</w:t>
      </w:r>
    </w:p>
    <w:p>
      <w:pPr>
        <w:pStyle w:val="Caption"/>
      </w:pPr>
      <w:r>
        <w:t>Workflow illustration. Follow the complete numbered instructions on the previous page.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 approved data collection and timing policies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