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46  |  Advanced administration</w:t>
      </w:r>
    </w:p>
    <w:p>
      <w:pPr>
        <w:pStyle w:val="Title"/>
      </w:pPr>
      <w:r>
        <w:t>Use the setup research workbench</w:t>
      </w:r>
    </w:p>
    <w:p>
      <w:r>
        <w:t>Compare existing recorded evidence using the available research tools.</w:t>
      </w:r>
    </w:p>
    <w:p>
      <w:r>
        <w:rPr>
          <w:b/>
        </w:rPr>
        <w:t xml:space="preserve">For </w:t>
      </w:r>
      <w:r>
        <w:t>Web · Administrator / Supervisor</w:t>
      </w:r>
    </w:p>
    <w:p>
      <w:r>
        <w:rPr>
          <w:b/>
        </w:rPr>
        <w:t xml:space="preserve">Before you start </w:t>
      </w:r>
      <w:r>
        <w:t>Use only an authorized research workflow. Experiments are separate from route publication.</w:t>
      </w:r>
    </w:p>
    <w:p>
      <w:r>
        <w:rPr>
          <w:b/>
        </w:rPr>
        <w:t xml:space="preserve">Open </w:t>
      </w:r>
      <w:r>
        <w:t>Completed setup run &gt; Research workbench</w:t>
      </w:r>
    </w:p>
    <w:p>
      <w:pPr>
        <w:pStyle w:val="Heading2"/>
      </w:pPr>
      <w:r>
        <w:t>Step 1 Open the source recording</w:t>
      </w:r>
    </w:p>
    <w:p>
      <w:r>
        <w:t>Choose the correct property and completed setup run, then open Research workbench when available.</w:t>
      </w:r>
    </w:p>
    <w:p>
      <w:pPr>
        <w:pStyle w:val="Heading2"/>
      </w:pPr>
      <w:r>
        <w:t>Step 2 Select the comparison</w:t>
      </w:r>
    </w:p>
    <w:p>
      <w:r>
        <w:t>Read the available model, replay and analysis options. Keep the recorded run and comparison settings identifiable.</w:t>
      </w:r>
    </w:p>
    <w:p>
      <w:pPr>
        <w:pStyle w:val="Heading2"/>
      </w:pPr>
      <w:r>
        <w:t>Step 3 Run and inspect the result</w:t>
      </w:r>
    </w:p>
    <w:p>
      <w:r>
        <w:t>Use the offered comparison action and wait for results. Inspect raw coverage, marked units, path gaps and uncertainty together.</w:t>
      </w:r>
    </w:p>
    <w:p>
      <w:pPr>
        <w:pStyle w:val="Heading2"/>
      </w:pPr>
      <w:r>
        <w:t>Step 4 Keep the interpretation qualified</w:t>
      </w:r>
    </w:p>
    <w:p>
      <w:r>
        <w:t>Record observations for the authorized study. Publish operational references only through the separate reviewed master and associate-route workflows.</w:t>
      </w:r>
    </w:p>
    <w:p>
      <w:r>
        <w:rPr>
          <w:b/>
        </w:rPr>
        <w:t xml:space="preserve">Check your result </w:t>
      </w:r>
      <w:r>
        <w:t>The result is tied to a known recording and comparison configuration.</w:t>
      </w:r>
    </w:p>
    <w:p>
      <w:r>
        <w:rPr>
          <w:b/>
        </w:rPr>
        <w:t xml:space="preserve">If something goes wrong </w:t>
      </w:r>
      <w:r>
        <w:t>A research path is an estimate. This screen does not authorize new collection or automatically change the operational master.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46  Picture reference</w:t>
      </w:r>
    </w:p>
    <w:p>
      <w:pPr>
        <w:pStyle w:val="Subtitle"/>
      </w:pPr>
      <w:r>
        <w:t>Use the setup research workbench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earc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Compare retained setup evidence in the research workbench; model paths remain estimates.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the setup research workbench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