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54  |  Property setup</w:t>
      </w:r>
    </w:p>
    <w:p>
      <w:pPr>
        <w:pStyle w:val="Title"/>
      </w:pPr>
      <w:r>
        <w:t>Configure building and floor numbering</w:t>
      </w:r>
    </w:p>
    <w:p>
      <w:r>
        <w:t>Decode consistent door labels for future setup marks without treating GPS as floor evidence.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Know the actual property numbering convention. Earlier observations are not changed.</w:t>
      </w:r>
    </w:p>
    <w:p>
      <w:r>
        <w:rPr>
          <w:b/>
        </w:rPr>
        <w:t xml:space="preserve">Open </w:t>
      </w:r>
      <w:r>
        <w:t>Manage &gt; Property &gt; Unit numbering or floor rule</w:t>
      </w:r>
    </w:p>
    <w:p>
      <w:pPr>
        <w:pStyle w:val="Heading2"/>
      </w:pPr>
      <w:r>
        <w:t>Step 1 Open the selected property</w:t>
      </w:r>
    </w:p>
    <w:p>
      <w:r>
        <w:t>On web open Service settings, then Unit numbering. On mobile select the property in Manage, then Unit numbering or floor rule.</w:t>
      </w:r>
    </w:p>
    <w:p>
      <w:pPr>
        <w:pStyle w:val="Heading2"/>
      </w:pPr>
      <w:r>
        <w:t>Step 2 Describe the label</w:t>
      </w:r>
    </w:p>
    <w:p>
      <w:r>
        <w:t>Use one B, F or U per character for building, floor and unit groups. BFUU decodes 1324 as building 1, floor 3, unit 24. Use the floor offset only when the actual convention requires it.</w:t>
      </w:r>
    </w:p>
    <w:p>
      <w:pPr>
        <w:pStyle w:val="Heading2"/>
      </w:pPr>
      <w:r>
        <w:t>Step 3 Test a real example</w:t>
      </w:r>
    </w:p>
    <w:p>
      <w:r>
        <w:t>Enter a representative label in the preview. Check every decoded field. Nonmatching labels remain unknown; explicit building and floor entries override decoding.</w:t>
      </w:r>
    </w:p>
    <w:p>
      <w:pPr>
        <w:pStyle w:val="Heading2"/>
      </w:pPr>
      <w:r>
        <w:t>Step 4 Save for future marks</w:t>
      </w:r>
    </w:p>
    <w:p>
      <w:r>
        <w:t>Enter a reason and save. A blank pattern disables future decoding. The rule version and original request are retained; changing rules does not rewrite historical evidence.</w:t>
      </w:r>
    </w:p>
    <w:p>
      <w:r>
        <w:rPr>
          <w:b/>
        </w:rPr>
        <w:t xml:space="preserve">Check your result </w:t>
      </w:r>
      <w:r>
        <w:t>The preview matches the numbering convention and the saved rule applies to future marks.</w:t>
      </w:r>
    </w:p>
    <w:p>
      <w:r>
        <w:rPr>
          <w:b/>
        </w:rPr>
        <w:t xml:space="preserve">If something goes wrong </w:t>
      </w:r>
      <w:r>
        <w:t>If the existing rule cannot be loaded, refresh before saving. Do not guess a rule for inconsistent labels.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54  Picture reference</w:t>
      </w:r>
    </w:p>
    <w:p>
      <w:pPr>
        <w:pStyle w:val="Subtitle"/>
      </w:pPr>
      <w:r>
        <w:t>Configure building and floor numbering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03320" cy="6172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ctober-rule-previe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03320" cy="6172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3 · Preview the actual label convention before saving a rule for future setup marks.</w:t>
      </w:r>
    </w:p>
    <w:p>
      <w:pPr>
        <w:pStyle w:val="Caption"/>
      </w:pPr>
      <w:r>
        <w:t>Application component preview with training data. Native permission prompts may differ.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Configure building and floor numbering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